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Ссылка для входа: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https://partners.russia.travel/login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468630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8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После ввода всех данных (номер телефона и адрес почты указываем те, которые подавали при заключении соглашения с НСПК) попадаем на страницу: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2844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4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Здесь же доступна инструкция по заполнению по всем критериям.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Далее выбираем нужный пункт для загрузки: 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16637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Или: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13843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8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Выбираем параметры ввода: вручную или файл XML (обратите внимание на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инструкции по заполнению</w:t>
        </w:r>
      </w:hyperlink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3.1. Если выбираем ввод вручную, открывается поле для заполнения:</w:t>
      </w: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Обязательные поля для заполнения будут подсвечиваться, если не указать их при загрузке.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3.2. Если выбираем загрузку XML:</w:t>
      </w:r>
      <w:r w:rsidDel="00000000" w:rsidR="00000000" w:rsidRPr="00000000">
        <w:rPr/>
        <w:drawing>
          <wp:inline distB="114300" distT="114300" distL="114300" distR="114300">
            <wp:extent cx="5731200" cy="20701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7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t xml:space="preserve">4. Все загруженные предложения до проверки модераторами будут висеть в вкладке “Ожидают подтверждения”. Если при загрузке файла XML появятся предложения с ошибками, то они попадут во вкладку “С ошибками”.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Во вкладки “Отклонены” и “Одобрены” туры попадают после проверки модераторами. </w:t>
        <w:br w:type="textWrapping"/>
        <w:br w:type="textWrapping"/>
        <w:t xml:space="preserve">*Информация по предложениям располагается горизонтально, поэтому нужно двигать ползунок вправо/влево.</w:t>
        <w:br w:type="textWrapping"/>
        <w:br w:type="textWrapping"/>
        <w:t xml:space="preserve">Для редактирования или удаления тура в самой правой части предложения есть две кнопки — значок карандаша и корзины: </w:t>
      </w:r>
      <w:r w:rsidDel="00000000" w:rsidR="00000000" w:rsidRPr="00000000">
        <w:rPr/>
        <w:drawing>
          <wp:inline distB="114300" distT="114300" distL="114300" distR="114300">
            <wp:extent cx="5731200" cy="26162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1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eJVTzxAD2BCeM3WkI_lWW1AeghVY1moRTnf36Qq9jhA/edit#heading=h.c2ra2crw3yyb" TargetMode="External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hyperlink" Target="https://partners.russia.travel/login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